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60" w:type="dxa"/>
        <w:tblLayout w:type="fixed"/>
        <w:tblLook w:val="01E0"/>
      </w:tblPr>
      <w:tblGrid>
        <w:gridCol w:w="9360"/>
      </w:tblGrid>
      <w:tr w:rsidR="00E46DB8" w:rsidTr="00E46DB8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9300" w:type="dxa"/>
              <w:tblLayout w:type="fixed"/>
              <w:tblLook w:val="01E0"/>
            </w:tblPr>
            <w:tblGrid>
              <w:gridCol w:w="2041"/>
              <w:gridCol w:w="1134"/>
              <w:gridCol w:w="2949"/>
              <w:gridCol w:w="1588"/>
              <w:gridCol w:w="1588"/>
            </w:tblGrid>
            <w:tr w:rsidR="00E46DB8">
              <w:trPr>
                <w:trHeight w:val="230"/>
              </w:trPr>
              <w:tc>
                <w:tcPr>
                  <w:tcW w:w="92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GoBack"/>
                  <w:bookmarkStart w:id="1" w:name="__bookmark_1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E46DB8">
              <w:trPr>
                <w:trHeight w:val="230"/>
              </w:trPr>
              <w:tc>
                <w:tcPr>
                  <w:tcW w:w="92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</w:tr>
            <w:tr w:rsidR="00E46DB8">
              <w:tc>
                <w:tcPr>
                  <w:tcW w:w="77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E46DB8"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E46DB8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E46DB8">
                    <w:trPr>
                      <w:jc w:val="center"/>
                    </w:trPr>
                    <w:tc>
                      <w:tcPr>
                        <w:tcW w:w="4080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E46DB8">
              <w:trPr>
                <w:trHeight w:val="226"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159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</w:tblGrid>
                  <w:tr w:rsidR="00E46DB8">
                    <w:trPr>
                      <w:jc w:val="center"/>
                    </w:trPr>
                    <w:tc>
                      <w:tcPr>
                        <w:tcW w:w="1587" w:type="dxa"/>
                      </w:tcPr>
                      <w:p w:rsidR="00E46DB8" w:rsidRDefault="00E46DB8">
                        <w:pPr>
                          <w:spacing w:line="0" w:lineRule="auto"/>
                          <w:jc w:val="center"/>
                        </w:pP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trHeight w:val="226"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vAlign w:val="center"/>
                  <w:hideMark/>
                </w:tcPr>
                <w:p w:rsidR="00E46DB8" w:rsidRDefault="00E46DB8"/>
              </w:tc>
            </w:tr>
            <w:tr w:rsidR="00E46DB8">
              <w:trPr>
                <w:trHeight w:val="226"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79972580</w:t>
                  </w:r>
                </w:p>
              </w:tc>
            </w:tr>
            <w:tr w:rsidR="00E46DB8">
              <w:trPr>
                <w:trHeight w:val="226"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  <w:jc w:val="center"/>
                  </w:pPr>
                </w:p>
              </w:tc>
            </w:tr>
            <w:tr w:rsidR="00E46DB8">
              <w:trPr>
                <w:trHeight w:val="226"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  <w:jc w:val="center"/>
                  </w:pPr>
                </w:p>
              </w:tc>
            </w:tr>
            <w:tr w:rsidR="00E46DB8">
              <w:trPr>
                <w:trHeight w:val="680"/>
              </w:trPr>
              <w:tc>
                <w:tcPr>
                  <w:tcW w:w="3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Шапошниковский сельсовет Первомайского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</w:t>
                  </w:r>
                </w:p>
              </w:tc>
            </w:tr>
            <w:tr w:rsidR="00E46DB8">
              <w:trPr>
                <w:trHeight w:val="226"/>
              </w:trPr>
              <w:tc>
                <w:tcPr>
                  <w:tcW w:w="3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Шапошниковское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nil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  <w:jc w:val="center"/>
                  </w:pPr>
                </w:p>
              </w:tc>
            </w:tr>
            <w:tr w:rsidR="00E46DB8">
              <w:tc>
                <w:tcPr>
                  <w:tcW w:w="3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6DB8" w:rsidRDefault="00E46DB8">
                  <w:pPr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159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</w:tblGrid>
                  <w:tr w:rsidR="00E46DB8">
                    <w:trPr>
                      <w:jc w:val="center"/>
                    </w:trPr>
                    <w:tc>
                      <w:tcPr>
                        <w:tcW w:w="1587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53636437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hidden/>
              </w:trPr>
              <w:tc>
                <w:tcPr>
                  <w:tcW w:w="6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E46DB8">
                    <w:tc>
                      <w:tcPr>
                        <w:tcW w:w="6120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spacing w:line="0" w:lineRule="auto"/>
                    <w:jc w:val="center"/>
                  </w:pPr>
                </w:p>
              </w:tc>
            </w:tr>
            <w:tr w:rsidR="00E46DB8">
              <w:trPr>
                <w:hidden/>
              </w:trPr>
              <w:tc>
                <w:tcPr>
                  <w:tcW w:w="61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46DB8" w:rsidRDefault="00E46DB8">
                  <w:pPr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E46DB8">
                    <w:tc>
                      <w:tcPr>
                        <w:tcW w:w="6120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6DB8" w:rsidRDefault="00E46D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rPr>
          <w:vanish/>
          <w:sz w:val="20"/>
          <w:szCs w:val="20"/>
        </w:rPr>
      </w:pPr>
      <w:bookmarkStart w:id="2" w:name="__bookmark_3"/>
      <w:bookmarkEnd w:id="2"/>
    </w:p>
    <w:tbl>
      <w:tblPr>
        <w:tblOverlap w:val="never"/>
        <w:tblW w:w="9360" w:type="dxa"/>
        <w:tblLayout w:type="fixed"/>
        <w:tblLook w:val="01E0"/>
      </w:tblPr>
      <w:tblGrid>
        <w:gridCol w:w="9360"/>
      </w:tblGrid>
      <w:tr w:rsidR="00E46DB8" w:rsidTr="00E46DB8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наименование: Администрация муниципального образования Шапошниковский сельсовет Первомайского района Оренбургской области. Сокращенное наименование: Администрация МО  Шапошниковский сельсовет Первомайского района Оренбургской области. Организационно-правовая форма: муниципальное казенное учреждение. Юридический почтовый адрес и адрес местонахождения:461994 Оренбургская область, Первомайский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Шапошниково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Молодежная, 24. Учреждение </w:t>
            </w:r>
            <w:r>
              <w:rPr>
                <w:color w:val="000000"/>
                <w:sz w:val="28"/>
                <w:szCs w:val="28"/>
              </w:rPr>
              <w:lastRenderedPageBreak/>
              <w:t>действует на основании устава, утвержденного решением Совета депутатов муниципального образования Шапошниковский сельсовет Первомайского района Оренбургской области 18 декабря 2015 года № 24.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Подведомственных учреждений не имеет. Администрация МО Шапошниковский сельсовет Первомайского района Оренбургской области является главным распорядителем бюджетных средств и главным администратором доходов. Код главы главного распорядителя бюджетных средств 118. Учреждение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обособленным имуществом. Учреждение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Бухгалтерский учет в 2019 году велся главным специалистом МКУ «ЕЦСУ» на основании договоров (соглашений) № 54 от 28 января 2019г., № 60 от 03 июня 2019г., № 60 от 20 ноября 2019г. Годовая бюджетная отчетность за 2019 год составлена главным специалистом МКУ "ЕЦСУ" Мироновой О.А.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штатном расписании учреждения утверждено 8,75 штатных единиц, свободных вакансий нет. Все сотрудники учреждения соответствуют </w:t>
            </w:r>
            <w:proofErr w:type="spellStart"/>
            <w:r>
              <w:rPr>
                <w:color w:val="000000"/>
                <w:sz w:val="28"/>
                <w:szCs w:val="28"/>
              </w:rPr>
              <w:t>профстандартам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Учреждение снабжено копировальной техникой, факсимильной связью. Лимиты потребления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теплоэнергоресурсов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соблюдаются. Перерасхода нет.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Доходная часть бюджета в 2019 году запланирована в сумме 4 266 743 руб. 44  коп., исполнено за 2019 год в сумме 4 307 160 руб. 62 коп., что составило 100,9%. Расходная часть бюджета на 2019 год запланирована в сумме 4 446 843 руб. 44 коп., исполнено в 2019 году в сумме 4 336 804 руб. 51 коп., что составляет 97,5</w:t>
            </w:r>
            <w:proofErr w:type="gramEnd"/>
            <w:r>
              <w:rPr>
                <w:color w:val="000000"/>
                <w:sz w:val="28"/>
                <w:szCs w:val="28"/>
              </w:rPr>
              <w:t>%. Показатели неисполнения бюджета по расходам отражены в Сведениях об исполнении бюджета (ф. 0503164).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Согласно ф. 0503169 дебиторская задолженность на 01 января 2020 года составляет 188 824,84 руб. (528 руб. – арендная плата за декабрь ПАО РОСТЕЛЕКОМ, 67,86 руб. – переплата по взносам в ПФ; 188228,98 руб. - просроченная дебиторская задолженность по налогам); кредиторская задолженность составляет 58 721,50 руб. (20 610,64 руб. - задолженность за электроэнергию в АО "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ЭнергосбыТ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Плюс";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38 100,86 руб. - расчеты по налогам).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2019 году приобретены новые основные средства на общую сумму 39860 руб. (насосы ВИХРЬ - 3шт. и насос WILO).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Начислено амортизации за 2019г. – 32 875,76 руб.  Приобретено материальных запасов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 2019г. на сумму 254 201,22 руб., списано материальных запасов на нужды учреждения на сумму 253 376,84 руб. В 2019г. получены безвозмездно основные средства от Администрации Первомайского района - здание </w:t>
            </w:r>
            <w:proofErr w:type="spellStart"/>
            <w:r>
              <w:rPr>
                <w:color w:val="000000"/>
                <w:sz w:val="28"/>
                <w:szCs w:val="28"/>
              </w:rPr>
              <w:t>Бокаушинской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НОШ и здание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НОШ, которые оприходованы в казну муниципального образования.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Кроме того в состав казны включены 4 земельных участка, находящихся в собственности Администрации муниципального образования Шапошниковский сельсовет общей стоимостью 22 019,75 руб. Все изменения в составе основных средств и казны отражены в показателях ф.0503168.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  <w:p w:rsidR="00E46DB8" w:rsidRDefault="00E46D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Инвентаризация в целях составления годовой отчетности за 2019 год проведена  30.12.2019г. на основании распоряжения Администрации № 16-р от 27.12.2019г. Недостач и хищений не обнаружено, в </w:t>
            </w:r>
            <w:proofErr w:type="gramStart"/>
            <w:r>
              <w:rPr>
                <w:color w:val="000000"/>
                <w:sz w:val="28"/>
                <w:szCs w:val="28"/>
              </w:rPr>
              <w:t>связи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чем таблица 6 Пояснительной записки не представлена.  В состав имущества казны в 2019г. вошли земельные участки под кладбищами – 4 шт., водозаборные скважины – 3 шт., водопровод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color w:val="000000"/>
                <w:sz w:val="28"/>
                <w:szCs w:val="28"/>
              </w:rPr>
              <w:t>апошниково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в п.Вербовый Сырт, башня </w:t>
            </w:r>
            <w:proofErr w:type="spellStart"/>
            <w:r>
              <w:rPr>
                <w:color w:val="000000"/>
                <w:sz w:val="28"/>
                <w:szCs w:val="28"/>
              </w:rPr>
              <w:t>Рожновского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переданные безвозмездно в 2019 г. Администрацией Первомайского района здания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Бокаушинской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НОШ. </w:t>
            </w:r>
            <w:r>
              <w:rPr>
                <w:color w:val="000000"/>
                <w:sz w:val="28"/>
                <w:szCs w:val="28"/>
              </w:rPr>
              <w:br/>
              <w:t>В связи с отсутствием числовых показателей в составе годовой отчетности не представлены формы и приложения:</w:t>
            </w:r>
            <w:r>
              <w:rPr>
                <w:color w:val="000000"/>
                <w:sz w:val="28"/>
                <w:szCs w:val="28"/>
              </w:rPr>
              <w:br/>
              <w:t>- таблица 5 Пояснительной записки;</w:t>
            </w:r>
            <w:r>
              <w:rPr>
                <w:color w:val="000000"/>
                <w:sz w:val="28"/>
                <w:szCs w:val="28"/>
              </w:rPr>
              <w:br/>
              <w:t>- таблица 7 пояснительной записки;</w:t>
            </w:r>
            <w:r>
              <w:rPr>
                <w:color w:val="000000"/>
                <w:sz w:val="28"/>
                <w:szCs w:val="28"/>
              </w:rPr>
              <w:br/>
              <w:t>– Сведения о результатах деятельности (ф. 0503162);</w:t>
            </w:r>
            <w:r>
              <w:rPr>
                <w:color w:val="000000"/>
                <w:sz w:val="28"/>
                <w:szCs w:val="28"/>
              </w:rPr>
              <w:br/>
              <w:t xml:space="preserve">- Сведения об изменениях бюджетной росписи главного распорядителя бюджетных средств (ф.0503163);  </w:t>
            </w:r>
            <w:r>
              <w:rPr>
                <w:color w:val="000000"/>
                <w:sz w:val="28"/>
                <w:szCs w:val="28"/>
              </w:rPr>
              <w:br/>
              <w:t xml:space="preserve">– Сведения об исполнении мероприятий в рамках целевых программ (ф. 0503166);   </w:t>
            </w:r>
            <w:r>
              <w:rPr>
                <w:color w:val="000000"/>
                <w:sz w:val="28"/>
                <w:szCs w:val="28"/>
              </w:rPr>
              <w:br/>
              <w:t xml:space="preserve">–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Сведения о целевых иностранных кредитах (ф. 0503167);  </w:t>
            </w:r>
            <w:r>
              <w:rPr>
                <w:color w:val="000000"/>
                <w:sz w:val="28"/>
                <w:szCs w:val="28"/>
              </w:rPr>
              <w:br/>
              <w:t>- Сведения о финансовых вложениях ПБС, АИФ дефицита бюджета (ф.0503171);</w:t>
            </w:r>
            <w:r>
              <w:rPr>
                <w:color w:val="000000"/>
                <w:sz w:val="28"/>
                <w:szCs w:val="28"/>
              </w:rPr>
              <w:br/>
              <w:t>– Сведения о госдолге, бюджетных кредитах (ф. 0503172);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– Сведения об изменении остатков валюты баланса (ф. 0503173);</w:t>
            </w:r>
            <w:r>
              <w:rPr>
                <w:color w:val="000000"/>
                <w:sz w:val="28"/>
                <w:szCs w:val="28"/>
              </w:rPr>
              <w:br/>
              <w:t>–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– Сведения об остатках денежных средств на счетах получателя бюджетных средств (ф. 0503178);</w:t>
            </w:r>
            <w:r>
              <w:rPr>
                <w:color w:val="000000"/>
                <w:sz w:val="28"/>
                <w:szCs w:val="28"/>
              </w:rPr>
              <w:br/>
              <w:t>– Сведения о вложениях в объекты недвижимого имущества, объектах незавершенного строительства (ф. 0503190);</w:t>
            </w:r>
            <w:r>
              <w:rPr>
                <w:color w:val="000000"/>
                <w:sz w:val="28"/>
                <w:szCs w:val="28"/>
              </w:rPr>
              <w:br/>
              <w:t>- Сведения об исполнении судебных решений по денежным обязательствам бюджета (ф.0503296).</w:t>
            </w:r>
          </w:p>
        </w:tc>
      </w:tr>
      <w:tr w:rsidR="00E46DB8" w:rsidTr="00E46DB8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46DB8" w:rsidRDefault="00E46DB8" w:rsidP="00E46DB8">
      <w:pPr>
        <w:rPr>
          <w:vanish/>
          <w:sz w:val="20"/>
          <w:szCs w:val="20"/>
        </w:rPr>
      </w:pPr>
    </w:p>
    <w:tbl>
      <w:tblPr>
        <w:tblOverlap w:val="never"/>
        <w:tblW w:w="9360" w:type="dxa"/>
        <w:tblLayout w:type="fixed"/>
        <w:tblLook w:val="01E0"/>
      </w:tblPr>
      <w:tblGrid>
        <w:gridCol w:w="9360"/>
      </w:tblGrid>
      <w:tr w:rsidR="00E46DB8" w:rsidTr="00E46DB8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1"/>
              <w:gridCol w:w="1133"/>
              <w:gridCol w:w="566"/>
              <w:gridCol w:w="3401"/>
              <w:gridCol w:w="453"/>
              <w:gridCol w:w="566"/>
            </w:tblGrid>
            <w:tr w:rsidR="00E46DB8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E46DB8">
                    <w:tc>
                      <w:tcPr>
                        <w:tcW w:w="2040" w:type="dxa"/>
                        <w:hideMark/>
                      </w:tcPr>
                      <w:p w:rsidR="00E46DB8" w:rsidRDefault="00E46DB8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340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5"/>
                  </w:tblGrid>
                  <w:tr w:rsidR="00E46DB8">
                    <w:trPr>
                      <w:jc w:val="center"/>
                    </w:trPr>
                    <w:tc>
                      <w:tcPr>
                        <w:tcW w:w="3401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Козлов Александр Иванович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8159" w:type="dxa"/>
                  <w:vMerge/>
                  <w:vAlign w:val="center"/>
                  <w:hideMark/>
                </w:tcPr>
                <w:p w:rsidR="00E46DB8" w:rsidRDefault="00E46DB8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trHeight w:val="230"/>
              </w:trPr>
              <w:tc>
                <w:tcPr>
                  <w:tcW w:w="8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6DB8">
                    <w:trPr>
                      <w:trHeight w:val="509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6DB8" w:rsidRDefault="00E46DB8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6DB8">
                    <w:trPr>
                      <w:trHeight w:val="509"/>
                    </w:trPr>
                    <w:tc>
                      <w:tcPr>
                        <w:tcW w:w="11040" w:type="dxa"/>
                        <w:gridSpan w:val="6"/>
                        <w:vMerge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vAlign w:val="center"/>
                        <w:hideMark/>
                      </w:tcPr>
                      <w:p w:rsidR="00E46DB8" w:rsidRDefault="00E46DB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46DB8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015"/>
                        </w:tblGrid>
                        <w:tr w:rsidR="00E46DB8">
                          <w:tc>
                            <w:tcPr>
                              <w:tcW w:w="6015" w:type="dxa"/>
                              <w:hideMark/>
                            </w:tcPr>
                            <w:p w:rsidR="00E46DB8" w:rsidRDefault="00E46DB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Сертификат: 4D5DEAEFE2AD69F601E43A2AA7DC62E6AE4BCB9A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Владелец: Козлов Александр Иванович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Действителен с 08.08.2019 по 08.11.2020</w:t>
                              </w:r>
                            </w:p>
                          </w:tc>
                        </w:tr>
                      </w:tbl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  <w:tr w:rsidR="00E46DB8">
                    <w:trPr>
                      <w:trHeight w:val="45"/>
                    </w:trPr>
                    <w:tc>
                      <w:tcPr>
                        <w:tcW w:w="99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E46DB8">
                    <w:tc>
                      <w:tcPr>
                        <w:tcW w:w="2040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340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5"/>
                  </w:tblGrid>
                  <w:tr w:rsidR="00E46DB8">
                    <w:trPr>
                      <w:jc w:val="center"/>
                    </w:trPr>
                    <w:tc>
                      <w:tcPr>
                        <w:tcW w:w="3401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8159" w:type="dxa"/>
                  <w:vMerge/>
                  <w:vAlign w:val="center"/>
                  <w:hideMark/>
                </w:tcPr>
                <w:p w:rsidR="00E46DB8" w:rsidRDefault="00E46DB8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trHeight w:val="230"/>
              </w:trPr>
              <w:tc>
                <w:tcPr>
                  <w:tcW w:w="8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6DB8">
                    <w:trPr>
                      <w:trHeight w:val="509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6DB8" w:rsidRDefault="00E46DB8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6DB8">
                    <w:trPr>
                      <w:trHeight w:val="509"/>
                    </w:trPr>
                    <w:tc>
                      <w:tcPr>
                        <w:tcW w:w="11040" w:type="dxa"/>
                        <w:gridSpan w:val="6"/>
                        <w:vMerge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vAlign w:val="center"/>
                        <w:hideMark/>
                      </w:tcPr>
                      <w:p w:rsidR="00E46DB8" w:rsidRDefault="00E46DB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46DB8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015"/>
                        </w:tblGrid>
                        <w:tr w:rsidR="00E46DB8">
                          <w:tc>
                            <w:tcPr>
                              <w:tcW w:w="6015" w:type="dxa"/>
                              <w:hideMark/>
                            </w:tcPr>
                            <w:p w:rsidR="00E46DB8" w:rsidRDefault="00E46DB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  <w:tr w:rsidR="00E46DB8">
                    <w:trPr>
                      <w:trHeight w:val="45"/>
                    </w:trPr>
                    <w:tc>
                      <w:tcPr>
                        <w:tcW w:w="99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E46DB8">
                    <w:tc>
                      <w:tcPr>
                        <w:tcW w:w="2040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340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5"/>
                  </w:tblGrid>
                  <w:tr w:rsidR="00E46DB8">
                    <w:trPr>
                      <w:jc w:val="center"/>
                    </w:trPr>
                    <w:tc>
                      <w:tcPr>
                        <w:tcW w:w="3401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8159" w:type="dxa"/>
                  <w:vMerge/>
                  <w:vAlign w:val="center"/>
                  <w:hideMark/>
                </w:tcPr>
                <w:p w:rsidR="00E46DB8" w:rsidRDefault="00E46DB8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trHeight w:val="230"/>
              </w:trPr>
              <w:tc>
                <w:tcPr>
                  <w:tcW w:w="8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6DB8">
                    <w:trPr>
                      <w:trHeight w:val="509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6DB8" w:rsidRDefault="00E46DB8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6DB8">
                    <w:trPr>
                      <w:trHeight w:val="509"/>
                    </w:trPr>
                    <w:tc>
                      <w:tcPr>
                        <w:tcW w:w="11040" w:type="dxa"/>
                        <w:gridSpan w:val="6"/>
                        <w:vMerge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vAlign w:val="center"/>
                        <w:hideMark/>
                      </w:tcPr>
                      <w:p w:rsidR="00E46DB8" w:rsidRDefault="00E46DB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46DB8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015"/>
                        </w:tblGrid>
                        <w:tr w:rsidR="00E46DB8">
                          <w:tc>
                            <w:tcPr>
                              <w:tcW w:w="6015" w:type="dxa"/>
                              <w:hideMark/>
                            </w:tcPr>
                            <w:p w:rsidR="00E46DB8" w:rsidRDefault="00E46DB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  <w:tr w:rsidR="00E46DB8">
                    <w:trPr>
                      <w:trHeight w:val="45"/>
                    </w:trPr>
                    <w:tc>
                      <w:tcPr>
                        <w:tcW w:w="99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E46DB8">
                    <w:tc>
                      <w:tcPr>
                        <w:tcW w:w="2040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Overlap w:val="never"/>
                    <w:tblW w:w="340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5"/>
                  </w:tblGrid>
                  <w:tr w:rsidR="00E46DB8">
                    <w:trPr>
                      <w:jc w:val="center"/>
                    </w:trPr>
                    <w:tc>
                      <w:tcPr>
                        <w:tcW w:w="3401" w:type="dxa"/>
                        <w:hideMark/>
                      </w:tcPr>
                      <w:p w:rsidR="00E46DB8" w:rsidRDefault="00E46DB8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8159" w:type="dxa"/>
                  <w:vMerge/>
                  <w:vAlign w:val="center"/>
                  <w:hideMark/>
                </w:tcPr>
                <w:p w:rsidR="00E46DB8" w:rsidRDefault="00E46DB8"/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6DB8" w:rsidRDefault="00E46DB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rPr>
                <w:trHeight w:val="230"/>
              </w:trPr>
              <w:tc>
                <w:tcPr>
                  <w:tcW w:w="81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46DB8">
                    <w:trPr>
                      <w:trHeight w:val="509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6DB8" w:rsidRDefault="00E46DB8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46DB8">
                    <w:trPr>
                      <w:trHeight w:val="509"/>
                    </w:trPr>
                    <w:tc>
                      <w:tcPr>
                        <w:tcW w:w="11040" w:type="dxa"/>
                        <w:gridSpan w:val="6"/>
                        <w:vMerge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vAlign w:val="center"/>
                        <w:hideMark/>
                      </w:tcPr>
                      <w:p w:rsidR="00E46DB8" w:rsidRDefault="00E46DB8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E46DB8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015"/>
                        </w:tblGrid>
                        <w:tr w:rsidR="00E46DB8">
                          <w:tc>
                            <w:tcPr>
                              <w:tcW w:w="6015" w:type="dxa"/>
                              <w:hideMark/>
                            </w:tcPr>
                            <w:p w:rsidR="00E46DB8" w:rsidRDefault="00E46DB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Сертификат: 766A2D5F6C1389A267D82929498514F2EC7165E1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:rsidR="00E46DB8" w:rsidRDefault="00E46DB8">
                              <w:r>
                                <w:rPr>
                                  <w:color w:val="000000"/>
                                </w:rPr>
                                <w:t>Действителен с 25.09.2019 по 25.12.2020</w:t>
                              </w:r>
                            </w:p>
                          </w:tc>
                        </w:tr>
                      </w:tbl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  <w:tr w:rsidR="00E46DB8">
                    <w:trPr>
                      <w:trHeight w:val="45"/>
                    </w:trPr>
                    <w:tc>
                      <w:tcPr>
                        <w:tcW w:w="990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46DB8" w:rsidRDefault="00E46DB8">
                        <w:pPr>
                          <w:spacing w:line="0" w:lineRule="auto"/>
                        </w:pP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  <w:tr w:rsidR="00E46DB8">
              <w:tc>
                <w:tcPr>
                  <w:tcW w:w="759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75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0"/>
                  </w:tblGrid>
                  <w:tr w:rsidR="00E46DB8">
                    <w:tc>
                      <w:tcPr>
                        <w:tcW w:w="7593" w:type="dxa"/>
                        <w:hideMark/>
                      </w:tcPr>
                      <w:p w:rsidR="00E46DB8" w:rsidRDefault="00E46DB8">
                        <w:r>
                          <w:rPr>
                            <w:color w:val="000000"/>
                          </w:rPr>
                          <w:t>10 февраля 2020 г.</w:t>
                        </w:r>
                      </w:p>
                    </w:tc>
                  </w:tr>
                </w:tbl>
                <w:p w:rsidR="00E46DB8" w:rsidRDefault="00E46DB8">
                  <w:pPr>
                    <w:spacing w:line="0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6DB8" w:rsidRDefault="00E46DB8">
                  <w:pPr>
                    <w:spacing w:line="0" w:lineRule="auto"/>
                  </w:pPr>
                </w:p>
              </w:tc>
            </w:tr>
          </w:tbl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sectPr w:rsidR="00E46DB8">
          <w:pgSz w:w="11055" w:h="16837"/>
          <w:pgMar w:top="1133" w:right="566" w:bottom="1133" w:left="1133" w:header="1133" w:footer="1133" w:gutter="0"/>
          <w:cols w:space="720"/>
        </w:sectPr>
      </w:pPr>
    </w:p>
    <w:p w:rsidR="00E46DB8" w:rsidRDefault="00E46DB8" w:rsidP="00E46DB8">
      <w:pPr>
        <w:rPr>
          <w:vanish/>
          <w:sz w:val="20"/>
          <w:szCs w:val="20"/>
        </w:rPr>
      </w:pPr>
      <w:bookmarkStart w:id="4" w:name="__bookmark_6"/>
      <w:bookmarkEnd w:id="4"/>
    </w:p>
    <w:tbl>
      <w:tblPr>
        <w:tblOverlap w:val="never"/>
        <w:tblW w:w="9345" w:type="dxa"/>
        <w:tblLayout w:type="fixed"/>
        <w:tblLook w:val="01E0"/>
      </w:tblPr>
      <w:tblGrid>
        <w:gridCol w:w="56"/>
        <w:gridCol w:w="3003"/>
        <w:gridCol w:w="56"/>
        <w:gridCol w:w="56"/>
        <w:gridCol w:w="3003"/>
        <w:gridCol w:w="56"/>
        <w:gridCol w:w="56"/>
        <w:gridCol w:w="3003"/>
        <w:gridCol w:w="56"/>
      </w:tblGrid>
      <w:tr w:rsidR="00E46DB8" w:rsidTr="00E46DB8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923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rPr>
          <w:vanish/>
          <w:sz w:val="20"/>
          <w:szCs w:val="20"/>
        </w:rPr>
      </w:pPr>
      <w:bookmarkStart w:id="5" w:name="__bookmark_7"/>
      <w:bookmarkEnd w:id="5"/>
    </w:p>
    <w:tbl>
      <w:tblPr>
        <w:tblOverlap w:val="never"/>
        <w:tblW w:w="9360" w:type="dxa"/>
        <w:tblLayout w:type="fixed"/>
        <w:tblLook w:val="01E0"/>
      </w:tblPr>
      <w:tblGrid>
        <w:gridCol w:w="57"/>
        <w:gridCol w:w="3007"/>
        <w:gridCol w:w="56"/>
        <w:gridCol w:w="56"/>
        <w:gridCol w:w="3007"/>
        <w:gridCol w:w="56"/>
        <w:gridCol w:w="56"/>
        <w:gridCol w:w="3007"/>
        <w:gridCol w:w="58"/>
      </w:tblGrid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пунктов.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поселковых и сельских населенных пунктов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06.10.2003г.№131-ФЗ" Об общих принципах самоуправления в Российской Федерации";  Устав муниципального образования Шапошниковский сельсовет Первомайского района, принят решением Совета депутатов муниципального образования Шапошниковский сельсовет Первомайского района Оренбургской области от 18.12.2015г.№24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sectPr w:rsidR="00E46DB8">
          <w:pgSz w:w="11055" w:h="16837"/>
          <w:pgMar w:top="1133" w:right="566" w:bottom="1133" w:left="1133" w:header="1133" w:footer="1133" w:gutter="0"/>
          <w:cols w:space="720"/>
        </w:sectPr>
      </w:pPr>
    </w:p>
    <w:p w:rsidR="00E46DB8" w:rsidRDefault="00E46DB8" w:rsidP="00E46DB8">
      <w:pPr>
        <w:rPr>
          <w:vanish/>
          <w:sz w:val="20"/>
          <w:szCs w:val="20"/>
        </w:rPr>
      </w:pPr>
      <w:bookmarkStart w:id="6" w:name="__bookmark_9"/>
      <w:bookmarkEnd w:id="6"/>
    </w:p>
    <w:tbl>
      <w:tblPr>
        <w:tblOverlap w:val="never"/>
        <w:tblW w:w="9360" w:type="dxa"/>
        <w:tblLayout w:type="fixed"/>
        <w:tblLook w:val="01E0"/>
      </w:tblPr>
      <w:tblGrid>
        <w:gridCol w:w="57"/>
        <w:gridCol w:w="3007"/>
        <w:gridCol w:w="56"/>
        <w:gridCol w:w="56"/>
        <w:gridCol w:w="3007"/>
        <w:gridCol w:w="56"/>
        <w:gridCol w:w="56"/>
        <w:gridCol w:w="3007"/>
        <w:gridCol w:w="58"/>
      </w:tblGrid>
      <w:tr w:rsidR="00E46DB8" w:rsidTr="00E46D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Утвердить дотации на выравнивание бюджетной обеспеченности поселений на 2019г. в сумме 2421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поселения в 2019г. получены в размере 2421 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Утвердить местный  бюджет муниципального образования Шапошниковский сельсовет  Первомайского района Оренбургской области (далее местный бюджет) на 2019 год по расходам в сумме 4446,8 тысяч  рублей и по доходам в сумме  4266,7 тысяч  рублей.  Размер дефицита бюджета сельсовета на 2019 год в сумме 180,1 тысячи рублей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муниципальному образованию Шапошниковский сельсовет общий объем доходов за 2019г. составил 4307,2 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уб., расходов - 4336,8 тыс.руб., дефицит составил 29,6 тыс.руб.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доходам: – доходы от использования имущества, находящегося в муниципальной собственности, поступили в меньшем объеме, чем было предусмотрено решением о бюджете; – НДФЛ, ЕСН, налоги на имущество, </w:t>
            </w:r>
            <w:proofErr w:type="spellStart"/>
            <w:r>
              <w:rPr>
                <w:color w:val="000000"/>
                <w:sz w:val="16"/>
                <w:szCs w:val="16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алог</w:t>
            </w:r>
            <w:proofErr w:type="spellEnd"/>
            <w:r>
              <w:rPr>
                <w:color w:val="000000"/>
                <w:sz w:val="16"/>
                <w:szCs w:val="16"/>
              </w:rPr>
              <w:t>, госпошлина,  доходы от оказания платных услуг поступили в большем объеме, чем предусмотрено решением о бюджете; – субсидии, субвенции, иные межбюджетные трансферты из бюджетов других уровней бюджету муниципального образования Шапошниковский сельсовет поступили в объеме, запланированном решением о бюджете. По расходам: средства на решение общегосударственных вопросов произведены в запланированных объемах за исключением расходов на оплату за поставку газа, т.к. было запланировано расходов больше, чем фактически потребили. Расходы на культуру и кинематографию, национальную безопасность и жилищно-коммунальное хозяйство произведены в запланированных объемах, предусмотренных решением о бюджете.</w:t>
            </w:r>
          </w:p>
        </w:tc>
        <w:tc>
          <w:tcPr>
            <w:tcW w:w="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sectPr w:rsidR="00E46DB8">
          <w:pgSz w:w="11055" w:h="16837"/>
          <w:pgMar w:top="1133" w:right="566" w:bottom="1133" w:left="1133" w:header="1133" w:footer="1133" w:gutter="0"/>
          <w:cols w:space="720"/>
        </w:sectPr>
      </w:pPr>
    </w:p>
    <w:p w:rsidR="00E46DB8" w:rsidRDefault="00E46DB8" w:rsidP="00E46DB8">
      <w:pPr>
        <w:rPr>
          <w:vanish/>
          <w:sz w:val="20"/>
          <w:szCs w:val="20"/>
        </w:rPr>
      </w:pPr>
      <w:bookmarkStart w:id="7" w:name="__bookmark_11"/>
      <w:bookmarkEnd w:id="7"/>
    </w:p>
    <w:tbl>
      <w:tblPr>
        <w:tblOverlap w:val="never"/>
        <w:tblW w:w="9360" w:type="dxa"/>
        <w:tblLayout w:type="fixed"/>
        <w:tblLook w:val="01E0"/>
      </w:tblPr>
      <w:tblGrid>
        <w:gridCol w:w="2284"/>
        <w:gridCol w:w="2284"/>
        <w:gridCol w:w="56"/>
        <w:gridCol w:w="2284"/>
        <w:gridCol w:w="56"/>
        <w:gridCol w:w="56"/>
        <w:gridCol w:w="2284"/>
        <w:gridCol w:w="56"/>
      </w:tblGrid>
      <w:tr w:rsidR="00E46DB8" w:rsidTr="00E46DB8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  <w:jc w:val="center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стоимостью до 10 000 руб. включительно, находящиеся в  эксплуатации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00021000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 стоимости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 имущества, независимо от их стоимости, со сроком полезного использования более 12 месяцев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Списание материальных запасов производится по фактической стоимости каждой единицы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 выдаются под отчет на срок, не более 30 рабочих дней. По истечении этого срока сотрудник должен отчитаться в течение трех рабочих дней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дебиторами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21002000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администрирует поступления в бюджет на счете 1.210.02.ХХХ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кредиторами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30405000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Задолженность перед кредиторами оплачивается на основании счетов, накладных, актов выполненных работ, выставленных поставщиками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результат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Финансовый результат муниципального образования формируется в соответствии с решением о бюджете. В состав доходов учреждения включаются поступления в бюджет. На счете 1.401.40.ХХХ учитываются доходы будущих периодов - поступления от сдачи в аренду имущества, безвозмездные поступления. Расходы производятся в соответствии с утвержденной бюджетной сметой. На счете 1.401.50.ХХХ учитываются расходы будущих периодов - страхование гражданской ответственности, приобретение неисключительных прав пользования на определенный период, подписка на печатные издания. Счет 1.401.60.ХХХ используется для создания </w:t>
            </w:r>
            <w:r>
              <w:rPr>
                <w:color w:val="000000"/>
                <w:sz w:val="16"/>
                <w:szCs w:val="16"/>
              </w:rPr>
              <w:lastRenderedPageBreak/>
              <w:t>резерва на оплату отпусков работников за фактическое отработанное время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26.12.2018г. № 25-р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  <w:tr w:rsidR="00E46DB8" w:rsidTr="00E46DB8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DB8" w:rsidRDefault="00E46DB8">
            <w:pPr>
              <w:spacing w:line="0" w:lineRule="auto"/>
            </w:pPr>
          </w:p>
        </w:tc>
      </w:tr>
    </w:tbl>
    <w:p w:rsidR="00E46DB8" w:rsidRDefault="00E46DB8" w:rsidP="00E46DB8">
      <w:pPr>
        <w:rPr>
          <w:sz w:val="20"/>
          <w:szCs w:val="20"/>
        </w:rPr>
      </w:pPr>
    </w:p>
    <w:p w:rsidR="00A61ADF" w:rsidRDefault="00A61ADF"/>
    <w:sectPr w:rsidR="00A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DB8"/>
    <w:rsid w:val="00A61ADF"/>
    <w:rsid w:val="00E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2020-02-25T12:50:00Z</dcterms:created>
  <dcterms:modified xsi:type="dcterms:W3CDTF">2020-02-25T12:51:00Z</dcterms:modified>
</cp:coreProperties>
</file>